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612" w:rsidRPr="009D2612" w:rsidRDefault="009D2612" w:rsidP="009D2612">
      <w:pPr>
        <w:jc w:val="center"/>
        <w:rPr>
          <w:b/>
          <w:lang w:val="en-US"/>
        </w:rPr>
      </w:pPr>
      <w:r w:rsidRPr="009D2612">
        <w:rPr>
          <w:b/>
          <w:lang w:val="en-US"/>
        </w:rPr>
        <w:t>13C-metabolic flux analysis in developing flaxseed embryos to understand storage lipid biosynthesis</w:t>
      </w:r>
    </w:p>
    <w:p w:rsidR="009D2612" w:rsidRDefault="009D2612" w:rsidP="009D2612">
      <w:r>
        <w:t xml:space="preserve">Sébastien Acket </w:t>
      </w:r>
      <w:r w:rsidRPr="009D2612">
        <w:rPr>
          <w:vertAlign w:val="superscript"/>
        </w:rPr>
        <w:t>1</w:t>
      </w:r>
      <w:r>
        <w:t xml:space="preserve"> *, Anthony </w:t>
      </w:r>
      <w:proofErr w:type="spellStart"/>
      <w:r>
        <w:t>Degournay</w:t>
      </w:r>
      <w:proofErr w:type="spellEnd"/>
      <w:r>
        <w:t xml:space="preserve"> </w:t>
      </w:r>
      <w:r w:rsidRPr="009D2612">
        <w:rPr>
          <w:vertAlign w:val="superscript"/>
        </w:rPr>
        <w:t>1</w:t>
      </w:r>
      <w:r>
        <w:t xml:space="preserve">, Yannick Rossez </w:t>
      </w:r>
      <w:r w:rsidRPr="009D2612">
        <w:rPr>
          <w:vertAlign w:val="superscript"/>
        </w:rPr>
        <w:t>1</w:t>
      </w:r>
      <w:r>
        <w:t xml:space="preserve">, Stéphane </w:t>
      </w:r>
      <w:proofErr w:type="spellStart"/>
      <w:r>
        <w:t>Mottelet</w:t>
      </w:r>
      <w:proofErr w:type="spellEnd"/>
      <w:r>
        <w:t xml:space="preserve"> </w:t>
      </w:r>
      <w:r w:rsidRPr="009D2612">
        <w:rPr>
          <w:vertAlign w:val="superscript"/>
        </w:rPr>
        <w:t>2</w:t>
      </w:r>
      <w:r>
        <w:t xml:space="preserve">, Pierre Villon </w:t>
      </w:r>
      <w:r w:rsidRPr="009D2612">
        <w:rPr>
          <w:vertAlign w:val="superscript"/>
        </w:rPr>
        <w:t>3</w:t>
      </w:r>
      <w:r>
        <w:t xml:space="preserve">, Adrian </w:t>
      </w:r>
      <w:proofErr w:type="spellStart"/>
      <w:r>
        <w:t>Troncoso</w:t>
      </w:r>
      <w:proofErr w:type="spellEnd"/>
      <w:r>
        <w:t xml:space="preserve">-Ponce </w:t>
      </w:r>
      <w:r w:rsidRPr="009D2612">
        <w:rPr>
          <w:vertAlign w:val="superscript"/>
        </w:rPr>
        <w:t>1</w:t>
      </w:r>
      <w:r>
        <w:t>, and Brigitte Thomasset</w:t>
      </w:r>
      <w:r w:rsidRPr="009D2612">
        <w:rPr>
          <w:vertAlign w:val="superscript"/>
        </w:rPr>
        <w:t xml:space="preserve"> 1</w:t>
      </w:r>
    </w:p>
    <w:p w:rsidR="009D2612" w:rsidRDefault="009D2612" w:rsidP="009D2612">
      <w:r w:rsidRPr="009D2612">
        <w:rPr>
          <w:vertAlign w:val="superscript"/>
        </w:rPr>
        <w:t>1</w:t>
      </w:r>
      <w:r>
        <w:t xml:space="preserve"> Alliance Sorbonne Université, Génie Enzymatique et Cellulaire, UMR CNRS 7025, Université de Technologie de Compiègne, 60205 Compiègne Cedex, France.</w:t>
      </w:r>
    </w:p>
    <w:p w:rsidR="009D2612" w:rsidRDefault="009D2612" w:rsidP="009D2612">
      <w:r w:rsidRPr="009D2612">
        <w:rPr>
          <w:vertAlign w:val="superscript"/>
        </w:rPr>
        <w:t>2</w:t>
      </w:r>
      <w:r>
        <w:t xml:space="preserve"> Alliance Sorbonne Université, EA 4297 TIMR, Transformations Intégrées de la Matière Renouvelable, Université de Technologie de Compiègne, 60205 Compiègne Cedex, France.</w:t>
      </w:r>
    </w:p>
    <w:p w:rsidR="009D2612" w:rsidRDefault="009D2612" w:rsidP="009D2612">
      <w:r w:rsidRPr="009D2612">
        <w:rPr>
          <w:vertAlign w:val="superscript"/>
        </w:rPr>
        <w:t>3</w:t>
      </w:r>
      <w:r>
        <w:t xml:space="preserve"> Alliance Sorbonne Université, Laboratoire Roberval, FRE UTC CNRS 2012, Université de Technologie de Compiègne, 60205 Compiègne Cedex, France.</w:t>
      </w:r>
    </w:p>
    <w:p w:rsidR="004A48C3" w:rsidRDefault="009D2612" w:rsidP="009D2612">
      <w:pPr>
        <w:rPr>
          <w:lang w:val="en-US"/>
        </w:rPr>
      </w:pPr>
      <w:r w:rsidRPr="009D2612">
        <w:rPr>
          <w:lang w:val="en-US"/>
        </w:rPr>
        <w:t xml:space="preserve">* Corresponding author. Email address: </w:t>
      </w:r>
      <w:hyperlink r:id="rId4" w:history="1">
        <w:r w:rsidRPr="00AC4ADE">
          <w:rPr>
            <w:rStyle w:val="Lienhypertexte"/>
            <w:lang w:val="en-US"/>
          </w:rPr>
          <w:t>sebastien.acket@utc.fr</w:t>
        </w:r>
      </w:hyperlink>
    </w:p>
    <w:p w:rsidR="009D2612" w:rsidRPr="009D2612" w:rsidRDefault="009D2612" w:rsidP="009D2612">
      <w:pPr>
        <w:rPr>
          <w:b/>
          <w:sz w:val="10"/>
          <w:szCs w:val="10"/>
          <w:lang w:val="en-US"/>
        </w:rPr>
      </w:pP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b/>
          <w:lang w:val="en-US"/>
        </w:rPr>
        <w:tab/>
      </w:r>
      <w:r w:rsidRPr="009D2612">
        <w:rPr>
          <w:b/>
          <w:lang w:val="en-US"/>
        </w:rPr>
        <w:tab/>
      </w:r>
    </w:p>
    <w:p w:rsidR="009D2612" w:rsidRPr="009D2612" w:rsidRDefault="009D2612" w:rsidP="009D2612">
      <w:pPr>
        <w:jc w:val="center"/>
        <w:rPr>
          <w:b/>
          <w:lang w:val="en-US"/>
        </w:rPr>
      </w:pPr>
      <w:bookmarkStart w:id="0" w:name="_GoBack"/>
      <w:r w:rsidRPr="009D2612">
        <w:rPr>
          <w:b/>
          <w:noProof/>
        </w:rPr>
        <w:drawing>
          <wp:inline distT="0" distB="0" distL="0" distR="0" wp14:anchorId="72CA5DB3" wp14:editId="4D5CCA51">
            <wp:extent cx="4472350" cy="5457825"/>
            <wp:effectExtent l="0" t="0" r="4445" b="0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9593399F-DBB3-41FF-A99D-D97B8CE70C6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9593399F-DBB3-41FF-A99D-D97B8CE70C6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2822" cy="5519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D2612" w:rsidRDefault="009D2612" w:rsidP="009D2612">
      <w:pPr>
        <w:rPr>
          <w:lang w:val="en-US"/>
        </w:rPr>
      </w:pPr>
      <w:r w:rsidRPr="009D2612">
        <w:rPr>
          <w:b/>
          <w:lang w:val="en-US"/>
        </w:rPr>
        <w:t>Supplementary Figure S1</w:t>
      </w:r>
      <w:r w:rsidRPr="009D2612">
        <w:rPr>
          <w:lang w:val="en-US"/>
        </w:rPr>
        <w:t xml:space="preserve">: The metabolic network of flaxseed embryos cell. </w:t>
      </w:r>
      <w:r w:rsidRPr="009D2612">
        <w:rPr>
          <w:lang w:val="en-US"/>
        </w:rPr>
        <w:tab/>
      </w:r>
    </w:p>
    <w:p w:rsidR="009D2612" w:rsidRPr="009D2612" w:rsidRDefault="009D2612" w:rsidP="009D2612">
      <w:pPr>
        <w:rPr>
          <w:lang w:val="en-US"/>
        </w:rPr>
      </w:pPr>
      <w:r w:rsidRPr="009D2612">
        <w:rPr>
          <w:lang w:val="en-US"/>
        </w:rPr>
        <w:t xml:space="preserve">The illustration was designed with </w:t>
      </w:r>
      <w:proofErr w:type="spellStart"/>
      <w:r w:rsidRPr="009D2612">
        <w:rPr>
          <w:lang w:val="en-US"/>
        </w:rPr>
        <w:t>Omix</w:t>
      </w:r>
      <w:proofErr w:type="spellEnd"/>
      <w:r w:rsidRPr="009D2612">
        <w:rPr>
          <w:lang w:val="en-US"/>
        </w:rPr>
        <w:t xml:space="preserve"> [43].</w:t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</w:p>
    <w:p w:rsidR="009D2612" w:rsidRPr="009D2612" w:rsidRDefault="009D2612" w:rsidP="009D2612">
      <w:pPr>
        <w:rPr>
          <w:lang w:val="en-US"/>
        </w:rPr>
      </w:pPr>
      <w:r w:rsidRPr="009D2612">
        <w:rPr>
          <w:lang w:val="en-US"/>
        </w:rPr>
        <w:lastRenderedPageBreak/>
        <w:t xml:space="preserve">[43] </w:t>
      </w:r>
      <w:proofErr w:type="spellStart"/>
      <w:r w:rsidRPr="009D2612">
        <w:rPr>
          <w:lang w:val="en-US"/>
        </w:rPr>
        <w:t>Droste</w:t>
      </w:r>
      <w:proofErr w:type="spellEnd"/>
      <w:r w:rsidRPr="009D2612">
        <w:rPr>
          <w:lang w:val="en-US"/>
        </w:rPr>
        <w:t xml:space="preserve">, P.; </w:t>
      </w:r>
      <w:proofErr w:type="spellStart"/>
      <w:r w:rsidRPr="009D2612">
        <w:rPr>
          <w:lang w:val="en-US"/>
        </w:rPr>
        <w:t>Nöh</w:t>
      </w:r>
      <w:proofErr w:type="spellEnd"/>
      <w:r w:rsidRPr="009D2612">
        <w:rPr>
          <w:lang w:val="en-US"/>
        </w:rPr>
        <w:t xml:space="preserve">, K.; </w:t>
      </w:r>
      <w:proofErr w:type="spellStart"/>
      <w:r w:rsidRPr="009D2612">
        <w:rPr>
          <w:lang w:val="en-US"/>
        </w:rPr>
        <w:t>Wiechert</w:t>
      </w:r>
      <w:proofErr w:type="spellEnd"/>
      <w:r w:rsidRPr="009D2612">
        <w:rPr>
          <w:lang w:val="en-US"/>
        </w:rPr>
        <w:t xml:space="preserve">, W. </w:t>
      </w:r>
      <w:proofErr w:type="spellStart"/>
      <w:r w:rsidRPr="009D2612">
        <w:rPr>
          <w:lang w:val="en-US"/>
        </w:rPr>
        <w:t>Omix</w:t>
      </w:r>
      <w:proofErr w:type="spellEnd"/>
      <w:r w:rsidRPr="009D2612">
        <w:rPr>
          <w:lang w:val="en-US"/>
        </w:rPr>
        <w:t xml:space="preserve"> – A Visualization Tool for Metabolic Networks with Highest Usability and Customizability in Focus. </w:t>
      </w:r>
      <w:proofErr w:type="spellStart"/>
      <w:r w:rsidRPr="009D2612">
        <w:rPr>
          <w:i/>
          <w:lang w:val="en-US"/>
        </w:rPr>
        <w:t>Chemie</w:t>
      </w:r>
      <w:proofErr w:type="spellEnd"/>
      <w:r w:rsidRPr="009D2612">
        <w:rPr>
          <w:i/>
          <w:lang w:val="en-US"/>
        </w:rPr>
        <w:t xml:space="preserve"> </w:t>
      </w:r>
      <w:proofErr w:type="spellStart"/>
      <w:r w:rsidRPr="009D2612">
        <w:rPr>
          <w:i/>
          <w:lang w:val="en-US"/>
        </w:rPr>
        <w:t>Ingenieur</w:t>
      </w:r>
      <w:proofErr w:type="spellEnd"/>
      <w:r w:rsidRPr="009D2612">
        <w:rPr>
          <w:i/>
          <w:lang w:val="en-US"/>
        </w:rPr>
        <w:t xml:space="preserve"> Technik</w:t>
      </w:r>
      <w:r w:rsidRPr="009D2612">
        <w:rPr>
          <w:lang w:val="en-US"/>
        </w:rPr>
        <w:t xml:space="preserve"> </w:t>
      </w:r>
      <w:r w:rsidRPr="009D2612">
        <w:rPr>
          <w:b/>
          <w:lang w:val="en-US"/>
        </w:rPr>
        <w:t>2013</w:t>
      </w:r>
      <w:r w:rsidRPr="009D2612">
        <w:rPr>
          <w:lang w:val="en-US"/>
        </w:rPr>
        <w:t>,</w:t>
      </w:r>
      <w:r w:rsidRPr="009D2612">
        <w:rPr>
          <w:i/>
          <w:lang w:val="en-US"/>
        </w:rPr>
        <w:t xml:space="preserve"> 85</w:t>
      </w:r>
      <w:r w:rsidRPr="009D2612">
        <w:rPr>
          <w:lang w:val="en-US"/>
        </w:rPr>
        <w:t>, 849–862.</w:t>
      </w:r>
      <w:r>
        <w:rPr>
          <w:lang w:val="en-US"/>
        </w:rPr>
        <w:t xml:space="preserve">                 </w:t>
      </w:r>
      <w:r w:rsidRPr="009D2612">
        <w:rPr>
          <w:lang w:val="en-US"/>
        </w:rPr>
        <w:t>The reactions are detailed in the Supplementary Table S3.</w:t>
      </w:r>
      <w:r>
        <w:rPr>
          <w:lang w:val="en-US"/>
        </w:rPr>
        <w:t xml:space="preserve"> </w:t>
      </w:r>
      <w:r w:rsidRPr="009D2612">
        <w:rPr>
          <w:lang w:val="en-US"/>
        </w:rPr>
        <w:t>Abbreviations of reactions and metabolites are respectively detailed in the Supplementary Table S3 and S4.</w:t>
      </w:r>
      <w:r>
        <w:rPr>
          <w:lang w:val="en-US"/>
        </w:rPr>
        <w:t xml:space="preserve"> </w:t>
      </w:r>
      <w:r w:rsidRPr="009D2612">
        <w:rPr>
          <w:lang w:val="en-US"/>
        </w:rPr>
        <w:t xml:space="preserve">For better clarity, the cofactors, and the reaction of protein and </w:t>
      </w:r>
      <w:proofErr w:type="spellStart"/>
      <w:r w:rsidRPr="009D2612">
        <w:rPr>
          <w:lang w:val="en-US"/>
        </w:rPr>
        <w:t>triacylglyceride</w:t>
      </w:r>
      <w:proofErr w:type="spellEnd"/>
      <w:r w:rsidRPr="009D2612">
        <w:rPr>
          <w:lang w:val="en-US"/>
        </w:rPr>
        <w:t xml:space="preserve"> synthesis have not been modeled. You will find the details of these reactions in the Supplementary Table S3 and S4.</w:t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  <w:r w:rsidRPr="009D2612">
        <w:rPr>
          <w:lang w:val="en-US"/>
        </w:rPr>
        <w:tab/>
      </w:r>
    </w:p>
    <w:sectPr w:rsidR="009D2612" w:rsidRPr="009D2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612"/>
    <w:rsid w:val="004A48C3"/>
    <w:rsid w:val="009D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C2715"/>
  <w15:chartTrackingRefBased/>
  <w15:docId w15:val="{C488A5D0-215B-4117-A9BD-F92FAA5D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D261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D26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hyperlink" Target="mailto:sebastien.acket@utc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acket</dc:creator>
  <cp:keywords/>
  <dc:description/>
  <cp:lastModifiedBy>sebastien acket</cp:lastModifiedBy>
  <cp:revision>1</cp:revision>
  <dcterms:created xsi:type="dcterms:W3CDTF">2019-11-18T08:51:00Z</dcterms:created>
  <dcterms:modified xsi:type="dcterms:W3CDTF">2019-11-18T08:56:00Z</dcterms:modified>
</cp:coreProperties>
</file>